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226" w:right="-226"/>
        <w:jc w:val="center"/>
        <w:rPr>
          <w:bdr w:val="none" w:color="auto" w:sz="0" w:space="0"/>
          <w:shd w:val="clear" w:fill="FFFFFF"/>
        </w:rPr>
      </w:pPr>
      <w:r>
        <w:rPr>
          <w:bdr w:val="none" w:color="auto" w:sz="0" w:space="0"/>
          <w:shd w:val="clear" w:fill="FFFFFF"/>
        </w:rPr>
        <w:t>浙江科技学院2018年成人高等学历教育招生简章</w:t>
      </w:r>
    </w:p>
    <w:p>
      <w:pPr>
        <w:pStyle w:val="3"/>
        <w:keepNext w:val="0"/>
        <w:keepLines w:val="0"/>
        <w:widowControl/>
        <w:suppressLineNumbers w:val="0"/>
        <w:spacing w:before="0" w:beforeAutospacing="0" w:after="0" w:afterAutospacing="0"/>
        <w:ind w:left="-226" w:right="-226"/>
      </w:pPr>
      <w:r>
        <w:rPr>
          <w:b/>
          <w:bCs/>
          <w:shd w:val="clear" w:fill="FFFFFF"/>
        </w:rPr>
        <w:t>一．学校简介</w:t>
      </w:r>
    </w:p>
    <w:p>
      <w:pPr>
        <w:pStyle w:val="3"/>
        <w:keepNext w:val="0"/>
        <w:keepLines w:val="0"/>
        <w:widowControl/>
        <w:suppressLineNumbers w:val="0"/>
        <w:spacing w:before="0" w:beforeAutospacing="0" w:after="0" w:afterAutospacing="0"/>
        <w:ind w:left="-226" w:right="-226"/>
      </w:pPr>
      <w:r>
        <w:rPr>
          <w:shd w:val="clear" w:fill="FFFFFF"/>
        </w:rPr>
        <w:t>浙江科技学院是一所以工学为主，涵盖工学、艺术学、管理学、文学、理学、经济学等多学科门类，具有硕士、学士学位授予权和外国留学生、港澳台学生招生权的特色鲜明的应用型省属高校。学校小和山校区位于杭州市西湖区西溪湿地畔，校园土地面积1000余亩，建筑面积47万平方米；安吉校区位于拥有联合国人居奖美誉的竹乡安吉，土地面积800亩，建筑面积16.5万平方米。</w:t>
      </w:r>
    </w:p>
    <w:p>
      <w:pPr>
        <w:pStyle w:val="3"/>
        <w:keepNext w:val="0"/>
        <w:keepLines w:val="0"/>
        <w:widowControl/>
        <w:suppressLineNumbers w:val="0"/>
        <w:spacing w:before="0" w:beforeAutospacing="0" w:after="0" w:afterAutospacing="0"/>
        <w:ind w:left="-226" w:right="-226"/>
      </w:pPr>
      <w:r>
        <w:rPr>
          <w:shd w:val="clear" w:fill="FFFFFF"/>
        </w:rPr>
        <w:t>学校坚持“学以致用、全面发展”的育人理念，以培养具有实践能力、创新精神、国际素养和社会责任的高素质应用型人才为己任，以打造“卓越工程师的摇篮”为目标。学校下设14个二级学院、1个教学部；现有56个本科专业；拥有5个硕士学位授权一级学科、20个硕士学位授权二级学科、5个硕士专业学位授权点。学校面向全国24个省（区、市）招生；现有全日制本科生、研究生17000余名；留学生1800余名，其中学历生1200余人；成教学生3000余人。</w:t>
      </w:r>
    </w:p>
    <w:p>
      <w:pPr>
        <w:pStyle w:val="3"/>
        <w:keepNext w:val="0"/>
        <w:keepLines w:val="0"/>
        <w:widowControl/>
        <w:suppressLineNumbers w:val="0"/>
        <w:spacing w:before="0" w:beforeAutospacing="0" w:after="0" w:afterAutospacing="0"/>
        <w:ind w:left="-226" w:right="-226"/>
      </w:pPr>
      <w:r>
        <w:rPr>
          <w:shd w:val="clear" w:fill="FFFFFF"/>
        </w:rPr>
        <w:t>经过近30年的发展，学校继续教育依托学校学科专业优势，利用校内外办学资源，按照“规范管理、提高质量、彰显特色”的办学指导思想，逐步形成了学历教育与非学历教育并举，自考助学为重点，技能培训为补充，岗位培训为拓展的多层次、多形式的继续教育办学体系。继续教育学院既是学校主管继续教育工作的职能部门，也是学校专门负责继续教育工作的直属学院。代表学校全面负责成人学历教育、自考助学教育、网络教育及各类培训等。学历教育是学校继续教育的主体，现有高起专、专升本的函授（业余）等多个层次的办学形式。设有会计、财务管理、工程造价等15个专科专业，有经济学、通信工程、视觉传达设计等30余个本科专业。这些专业均是依托我校有多年办学基础的优势本科专业，师资力量富裕、教学实践基地充足、契合社会发展需求的热点专业。根据办学需要，在省内设有函授站20余个，形成了以校本部为中心、联合办学为依托的成人学历教育发展模式。</w:t>
      </w:r>
    </w:p>
    <w:p>
      <w:pPr>
        <w:pStyle w:val="3"/>
        <w:keepNext w:val="0"/>
        <w:keepLines w:val="0"/>
        <w:widowControl/>
        <w:suppressLineNumbers w:val="0"/>
        <w:spacing w:before="0" w:beforeAutospacing="0" w:after="0" w:afterAutospacing="0"/>
        <w:ind w:left="-226" w:right="-226"/>
      </w:pPr>
      <w:r>
        <w:rPr>
          <w:b/>
          <w:bCs/>
          <w:shd w:val="clear" w:fill="FFFFFF"/>
        </w:rPr>
        <w:t>二．报考条件</w:t>
      </w:r>
    </w:p>
    <w:p>
      <w:pPr>
        <w:pStyle w:val="3"/>
        <w:keepNext w:val="0"/>
        <w:keepLines w:val="0"/>
        <w:widowControl/>
        <w:suppressLineNumbers w:val="0"/>
        <w:spacing w:before="0" w:beforeAutospacing="0" w:after="0" w:afterAutospacing="0"/>
        <w:ind w:left="-226" w:right="-226"/>
      </w:pPr>
      <w:r>
        <w:rPr>
          <w:shd w:val="clear" w:fill="FFFFFF"/>
        </w:rPr>
        <w:t>1、遵守中华人民共和国宪法和法律。</w:t>
      </w:r>
    </w:p>
    <w:p>
      <w:pPr>
        <w:pStyle w:val="3"/>
        <w:keepNext w:val="0"/>
        <w:keepLines w:val="0"/>
        <w:widowControl/>
        <w:suppressLineNumbers w:val="0"/>
        <w:spacing w:before="0" w:beforeAutospacing="0" w:after="0" w:afterAutospacing="0"/>
        <w:ind w:left="-226" w:right="-226"/>
      </w:pPr>
      <w:r>
        <w:rPr>
          <w:shd w:val="clear" w:fill="FFFFFF"/>
        </w:rPr>
        <w:t>2、在职从业人员，高中、中专、技校应届毕业生及社会其他人员。</w:t>
      </w:r>
    </w:p>
    <w:p>
      <w:pPr>
        <w:pStyle w:val="3"/>
        <w:keepNext w:val="0"/>
        <w:keepLines w:val="0"/>
        <w:widowControl/>
        <w:suppressLineNumbers w:val="0"/>
        <w:spacing w:before="0" w:beforeAutospacing="0" w:after="0" w:afterAutospacing="0"/>
        <w:ind w:left="-226" w:right="-226"/>
      </w:pPr>
      <w:r>
        <w:rPr>
          <w:shd w:val="clear" w:fill="FFFFFF"/>
        </w:rPr>
        <w:t>3、报考高中起点本、专科考生应具有高中（含中专、职高、技校）毕业文化程度；报考专科起点本科的考生必须是已取得经教育部审定核准的国民教育系列高等学校或高等教育自学考试机构颁发的大学专科毕业证书的人员。</w:t>
      </w:r>
    </w:p>
    <w:p>
      <w:pPr>
        <w:pStyle w:val="3"/>
        <w:keepNext w:val="0"/>
        <w:keepLines w:val="0"/>
        <w:widowControl/>
        <w:suppressLineNumbers w:val="0"/>
        <w:spacing w:before="0" w:beforeAutospacing="0" w:after="0" w:afterAutospacing="0"/>
        <w:ind w:left="-226" w:right="-226"/>
      </w:pPr>
      <w:r>
        <w:rPr>
          <w:shd w:val="clear" w:fill="FFFFFF"/>
        </w:rPr>
        <w:t>4、身体健康，生活能自理，不影响所报专业学习。</w:t>
      </w:r>
    </w:p>
    <w:p>
      <w:pPr>
        <w:pStyle w:val="3"/>
        <w:keepNext w:val="0"/>
        <w:keepLines w:val="0"/>
        <w:widowControl/>
        <w:suppressLineNumbers w:val="0"/>
        <w:spacing w:before="0" w:beforeAutospacing="0" w:after="0" w:afterAutospacing="0"/>
        <w:ind w:left="-226" w:right="-226"/>
      </w:pPr>
      <w:r>
        <w:rPr>
          <w:b/>
          <w:bCs/>
          <w:shd w:val="clear" w:fill="FFFFFF"/>
        </w:rPr>
        <w:t>三．入学考试</w:t>
      </w:r>
    </w:p>
    <w:tbl>
      <w:tblPr>
        <w:tblW w:w="0" w:type="auto"/>
        <w:tblInd w:w="-226" w:type="dxa"/>
        <w:shd w:val="clear"/>
        <w:tblLayout w:type="autofit"/>
        <w:tblCellMar>
          <w:top w:w="0" w:type="dxa"/>
          <w:left w:w="0" w:type="dxa"/>
          <w:bottom w:w="0" w:type="dxa"/>
          <w:right w:w="0" w:type="dxa"/>
        </w:tblCellMar>
      </w:tblPr>
      <w:tblGrid>
        <w:gridCol w:w="908"/>
        <w:gridCol w:w="938"/>
        <w:gridCol w:w="3278"/>
        <w:gridCol w:w="3408"/>
      </w:tblGrid>
      <w:tr>
        <w:tblPrEx>
          <w:shd w:val="clear"/>
          <w:tblCellMar>
            <w:top w:w="0" w:type="dxa"/>
            <w:left w:w="0" w:type="dxa"/>
            <w:bottom w:w="0" w:type="dxa"/>
            <w:right w:w="0" w:type="dxa"/>
          </w:tblCellMar>
        </w:tblPrEx>
        <w:tc>
          <w:tcPr>
            <w:tcW w:w="91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层次</w:t>
            </w: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科类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全国统一考试科目</w:t>
            </w:r>
          </w:p>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（10月中旬，以省考试院公布为准）</w:t>
            </w:r>
          </w:p>
        </w:tc>
        <w:tc>
          <w:tcPr>
            <w:tcW w:w="343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加试科目</w:t>
            </w:r>
          </w:p>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（具体时间、方式，以学校通知为准）</w:t>
            </w:r>
          </w:p>
        </w:tc>
      </w:tr>
      <w:tr>
        <w:tblPrEx>
          <w:tblCellMar>
            <w:top w:w="0" w:type="dxa"/>
            <w:left w:w="0" w:type="dxa"/>
            <w:bottom w:w="0" w:type="dxa"/>
            <w:right w:w="0" w:type="dxa"/>
          </w:tblCellMar>
        </w:tblPrEx>
        <w:tc>
          <w:tcPr>
            <w:tcW w:w="915" w:type="dxa"/>
            <w:vMerge w:val="restart"/>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高中起点专科</w:t>
            </w: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文科类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语文、数学（文）、英语</w:t>
            </w:r>
          </w:p>
        </w:tc>
        <w:tc>
          <w:tcPr>
            <w:tcW w:w="3435" w:type="dxa"/>
            <w:shd w:val="clear"/>
            <w:vAlign w:val="top"/>
          </w:tcPr>
          <w:p>
            <w:pPr>
              <w:rPr>
                <w:rFonts w:hint="eastAsia" w:ascii="微软雅黑" w:hAnsi="微软雅黑" w:eastAsia="微软雅黑" w:cs="微软雅黑"/>
                <w:color w:val="333333"/>
                <w:sz w:val="21"/>
                <w:szCs w:val="21"/>
              </w:rPr>
            </w:pPr>
          </w:p>
        </w:tc>
      </w:tr>
      <w:tr>
        <w:tblPrEx>
          <w:tblCellMar>
            <w:top w:w="0" w:type="dxa"/>
            <w:left w:w="0" w:type="dxa"/>
            <w:bottom w:w="0" w:type="dxa"/>
            <w:right w:w="0" w:type="dxa"/>
          </w:tblCellMar>
        </w:tblPrEx>
        <w:tc>
          <w:tcPr>
            <w:tcW w:w="915" w:type="dxa"/>
            <w:vMerge w:val="continue"/>
            <w:shd w:val="clear"/>
            <w:vAlign w:val="center"/>
          </w:tcPr>
          <w:p>
            <w:pPr>
              <w:rPr>
                <w:rFonts w:hint="eastAsia" w:ascii="微软雅黑" w:hAnsi="微软雅黑" w:eastAsia="微软雅黑" w:cs="微软雅黑"/>
                <w:color w:val="333333"/>
                <w:sz w:val="21"/>
                <w:szCs w:val="21"/>
              </w:rPr>
            </w:pP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理工类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语文、数学（理）、英语</w:t>
            </w:r>
          </w:p>
        </w:tc>
        <w:tc>
          <w:tcPr>
            <w:tcW w:w="3435" w:type="dxa"/>
            <w:shd w:val="clear"/>
            <w:vAlign w:val="top"/>
          </w:tcPr>
          <w:p>
            <w:pPr>
              <w:rPr>
                <w:rFonts w:hint="eastAsia" w:ascii="微软雅黑" w:hAnsi="微软雅黑" w:eastAsia="微软雅黑" w:cs="微软雅黑"/>
                <w:color w:val="333333"/>
                <w:sz w:val="21"/>
                <w:szCs w:val="21"/>
              </w:rPr>
            </w:pPr>
          </w:p>
        </w:tc>
      </w:tr>
      <w:tr>
        <w:tblPrEx>
          <w:tblCellMar>
            <w:top w:w="0" w:type="dxa"/>
            <w:left w:w="0" w:type="dxa"/>
            <w:bottom w:w="0" w:type="dxa"/>
            <w:right w:w="0" w:type="dxa"/>
          </w:tblCellMar>
        </w:tblPrEx>
        <w:tc>
          <w:tcPr>
            <w:tcW w:w="915" w:type="dxa"/>
            <w:vMerge w:val="continue"/>
            <w:shd w:val="clear"/>
            <w:vAlign w:val="center"/>
          </w:tcPr>
          <w:p>
            <w:pPr>
              <w:rPr>
                <w:rFonts w:hint="eastAsia" w:ascii="微软雅黑" w:hAnsi="微软雅黑" w:eastAsia="微软雅黑" w:cs="微软雅黑"/>
                <w:color w:val="333333"/>
                <w:sz w:val="21"/>
                <w:szCs w:val="21"/>
              </w:rPr>
            </w:pP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艺术文</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语文、数学（文）、英语</w:t>
            </w:r>
          </w:p>
        </w:tc>
        <w:tc>
          <w:tcPr>
            <w:tcW w:w="3435" w:type="dxa"/>
            <w:shd w:val="clear"/>
            <w:vAlign w:val="top"/>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素描、色彩</w:t>
            </w:r>
          </w:p>
        </w:tc>
      </w:tr>
      <w:tr>
        <w:tblPrEx>
          <w:tblCellMar>
            <w:top w:w="0" w:type="dxa"/>
            <w:left w:w="0" w:type="dxa"/>
            <w:bottom w:w="0" w:type="dxa"/>
            <w:right w:w="0" w:type="dxa"/>
          </w:tblCellMar>
        </w:tblPrEx>
        <w:tc>
          <w:tcPr>
            <w:tcW w:w="915" w:type="dxa"/>
            <w:vMerge w:val="restart"/>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专科起点本科</w:t>
            </w: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文史类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政治、外语、大学语文</w:t>
            </w:r>
          </w:p>
        </w:tc>
        <w:tc>
          <w:tcPr>
            <w:tcW w:w="3435" w:type="dxa"/>
            <w:shd w:val="clear"/>
            <w:vAlign w:val="top"/>
          </w:tcPr>
          <w:p>
            <w:pPr>
              <w:rPr>
                <w:rFonts w:hint="eastAsia" w:ascii="微软雅黑" w:hAnsi="微软雅黑" w:eastAsia="微软雅黑" w:cs="微软雅黑"/>
                <w:color w:val="333333"/>
                <w:sz w:val="21"/>
                <w:szCs w:val="21"/>
              </w:rPr>
            </w:pPr>
          </w:p>
        </w:tc>
      </w:tr>
      <w:tr>
        <w:tblPrEx>
          <w:tblCellMar>
            <w:top w:w="0" w:type="dxa"/>
            <w:left w:w="0" w:type="dxa"/>
            <w:bottom w:w="0" w:type="dxa"/>
            <w:right w:w="0" w:type="dxa"/>
          </w:tblCellMar>
        </w:tblPrEx>
        <w:tc>
          <w:tcPr>
            <w:tcW w:w="915" w:type="dxa"/>
            <w:vMerge w:val="continue"/>
            <w:shd w:val="clear"/>
            <w:vAlign w:val="center"/>
          </w:tcPr>
          <w:p>
            <w:pPr>
              <w:rPr>
                <w:rFonts w:hint="eastAsia" w:ascii="微软雅黑" w:hAnsi="微软雅黑" w:eastAsia="微软雅黑" w:cs="微软雅黑"/>
                <w:color w:val="333333"/>
                <w:sz w:val="21"/>
                <w:szCs w:val="21"/>
              </w:rPr>
            </w:pP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艺术类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政治、外语、艺术概论</w:t>
            </w:r>
          </w:p>
        </w:tc>
        <w:tc>
          <w:tcPr>
            <w:tcW w:w="3435" w:type="dxa"/>
            <w:shd w:val="clear"/>
            <w:vAlign w:val="top"/>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素描、色彩</w:t>
            </w:r>
          </w:p>
        </w:tc>
      </w:tr>
      <w:tr>
        <w:tblPrEx>
          <w:tblCellMar>
            <w:top w:w="0" w:type="dxa"/>
            <w:left w:w="0" w:type="dxa"/>
            <w:bottom w:w="0" w:type="dxa"/>
            <w:right w:w="0" w:type="dxa"/>
          </w:tblCellMar>
        </w:tblPrEx>
        <w:tc>
          <w:tcPr>
            <w:tcW w:w="915" w:type="dxa"/>
            <w:vMerge w:val="continue"/>
            <w:shd w:val="clear"/>
            <w:vAlign w:val="center"/>
          </w:tcPr>
          <w:p>
            <w:pPr>
              <w:rPr>
                <w:rFonts w:hint="eastAsia" w:ascii="微软雅黑" w:hAnsi="微软雅黑" w:eastAsia="微软雅黑" w:cs="微软雅黑"/>
                <w:color w:val="333333"/>
                <w:sz w:val="21"/>
                <w:szCs w:val="21"/>
              </w:rPr>
            </w:pP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经管类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政治、外语、高等数学（二）</w:t>
            </w:r>
          </w:p>
        </w:tc>
        <w:tc>
          <w:tcPr>
            <w:tcW w:w="3435" w:type="dxa"/>
            <w:shd w:val="clear"/>
            <w:vAlign w:val="top"/>
          </w:tcPr>
          <w:p>
            <w:pPr>
              <w:rPr>
                <w:rFonts w:hint="eastAsia" w:ascii="微软雅黑" w:hAnsi="微软雅黑" w:eastAsia="微软雅黑" w:cs="微软雅黑"/>
                <w:color w:val="333333"/>
                <w:sz w:val="21"/>
                <w:szCs w:val="21"/>
              </w:rPr>
            </w:pPr>
          </w:p>
        </w:tc>
      </w:tr>
      <w:tr>
        <w:tblPrEx>
          <w:tblCellMar>
            <w:top w:w="0" w:type="dxa"/>
            <w:left w:w="0" w:type="dxa"/>
            <w:bottom w:w="0" w:type="dxa"/>
            <w:right w:w="0" w:type="dxa"/>
          </w:tblCellMar>
        </w:tblPrEx>
        <w:tc>
          <w:tcPr>
            <w:tcW w:w="915" w:type="dxa"/>
            <w:vMerge w:val="continue"/>
            <w:shd w:val="clear"/>
            <w:vAlign w:val="center"/>
          </w:tcPr>
          <w:p>
            <w:pPr>
              <w:rPr>
                <w:rFonts w:hint="eastAsia" w:ascii="微软雅黑" w:hAnsi="微软雅黑" w:eastAsia="微软雅黑" w:cs="微软雅黑"/>
                <w:color w:val="333333"/>
                <w:sz w:val="21"/>
                <w:szCs w:val="21"/>
              </w:rPr>
            </w:pPr>
          </w:p>
        </w:tc>
        <w:tc>
          <w:tcPr>
            <w:tcW w:w="945"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理工类</w:t>
            </w:r>
          </w:p>
        </w:tc>
        <w:tc>
          <w:tcPr>
            <w:tcW w:w="3300" w:type="dxa"/>
            <w:shd w:val="clear"/>
            <w:vAlign w:val="center"/>
          </w:tcPr>
          <w:p>
            <w:pPr>
              <w:pStyle w:val="3"/>
              <w:keepNext w:val="0"/>
              <w:keepLines w:val="0"/>
              <w:widowControl/>
              <w:suppressLineNumbers w:val="0"/>
              <w:spacing w:line="21" w:lineRule="atLeast"/>
            </w:pPr>
            <w:r>
              <w:rPr>
                <w:rFonts w:hint="eastAsia" w:ascii="微软雅黑" w:hAnsi="微软雅黑" w:eastAsia="微软雅黑" w:cs="微软雅黑"/>
                <w:color w:val="333333"/>
                <w:sz w:val="21"/>
                <w:szCs w:val="21"/>
              </w:rPr>
              <w:t>政治、外语、高等数学（一）</w:t>
            </w:r>
          </w:p>
        </w:tc>
        <w:tc>
          <w:tcPr>
            <w:tcW w:w="3435" w:type="dxa"/>
            <w:shd w:val="clear"/>
            <w:vAlign w:val="top"/>
          </w:tcPr>
          <w:p>
            <w:pPr>
              <w:rPr>
                <w:rFonts w:hint="eastAsia" w:ascii="微软雅黑" w:hAnsi="微软雅黑" w:eastAsia="微软雅黑" w:cs="微软雅黑"/>
                <w:color w:val="333333"/>
                <w:sz w:val="21"/>
                <w:szCs w:val="21"/>
              </w:rPr>
            </w:pPr>
          </w:p>
        </w:tc>
      </w:tr>
    </w:tbl>
    <w:p>
      <w:pPr>
        <w:pStyle w:val="3"/>
        <w:keepNext w:val="0"/>
        <w:keepLines w:val="0"/>
        <w:widowControl/>
        <w:suppressLineNumbers w:val="0"/>
        <w:spacing w:before="0" w:beforeAutospacing="0" w:after="0" w:afterAutospacing="0"/>
        <w:ind w:left="-226" w:right="-226"/>
      </w:pPr>
      <w:r>
        <w:rPr>
          <w:rFonts w:hint="eastAsia"/>
          <w:b/>
          <w:bCs/>
          <w:shd w:val="clear" w:fill="FFFFFF"/>
          <w:lang w:eastAsia="zh-CN"/>
        </w:rPr>
        <w:t>四</w:t>
      </w:r>
      <w:r>
        <w:rPr>
          <w:b/>
          <w:bCs/>
          <w:shd w:val="clear" w:fill="FFFFFF"/>
        </w:rPr>
        <w:t>．录取工作</w:t>
      </w:r>
    </w:p>
    <w:p>
      <w:pPr>
        <w:pStyle w:val="3"/>
        <w:keepNext w:val="0"/>
        <w:keepLines w:val="0"/>
        <w:widowControl/>
        <w:suppressLineNumbers w:val="0"/>
        <w:spacing w:before="0" w:beforeAutospacing="0" w:after="0" w:afterAutospacing="0"/>
        <w:ind w:left="-226" w:right="-226"/>
      </w:pPr>
      <w:r>
        <w:rPr>
          <w:shd w:val="clear" w:fill="FFFFFF"/>
        </w:rPr>
        <w:t>1、根据浙江省教育考试院统一划定的最低控制分数线择优录取，由我院发放录取通知书。具体录取规则详见《浙江科技学院成人高等学历教育2018年招生章程》。</w:t>
      </w:r>
    </w:p>
    <w:p>
      <w:pPr>
        <w:pStyle w:val="3"/>
        <w:keepNext w:val="0"/>
        <w:keepLines w:val="0"/>
        <w:widowControl/>
        <w:suppressLineNumbers w:val="0"/>
        <w:spacing w:before="0" w:beforeAutospacing="0" w:after="0" w:afterAutospacing="0"/>
        <w:ind w:left="-226" w:right="-226"/>
      </w:pPr>
      <w:r>
        <w:rPr>
          <w:shd w:val="clear" w:fill="FFFFFF"/>
        </w:rPr>
        <w:t>2、我院实行授权招生，函授、业余各专业上线考生不足15人原则上不开班，上线考生将参考本人志愿录取到相关专业，或由考生自行决定转入我院其它教学点。</w:t>
      </w:r>
    </w:p>
    <w:p>
      <w:pPr>
        <w:pStyle w:val="3"/>
        <w:keepNext w:val="0"/>
        <w:keepLines w:val="0"/>
        <w:widowControl/>
        <w:suppressLineNumbers w:val="0"/>
        <w:spacing w:before="0" w:beforeAutospacing="0" w:after="0" w:afterAutospacing="0"/>
        <w:ind w:left="-226" w:right="-226"/>
      </w:pPr>
      <w:r>
        <w:rPr>
          <w:rFonts w:hint="eastAsia"/>
          <w:b/>
          <w:bCs/>
          <w:shd w:val="clear" w:fill="FFFFFF"/>
          <w:lang w:eastAsia="zh-CN"/>
        </w:rPr>
        <w:t>五</w:t>
      </w:r>
      <w:r>
        <w:rPr>
          <w:b/>
          <w:bCs/>
          <w:shd w:val="clear" w:fill="FFFFFF"/>
        </w:rPr>
        <w:t>．教学形式</w:t>
      </w:r>
    </w:p>
    <w:p>
      <w:pPr>
        <w:pStyle w:val="3"/>
        <w:keepNext w:val="0"/>
        <w:keepLines w:val="0"/>
        <w:widowControl/>
        <w:suppressLineNumbers w:val="0"/>
        <w:spacing w:before="0" w:beforeAutospacing="0" w:after="0" w:afterAutospacing="0"/>
        <w:ind w:left="-226" w:right="-226"/>
      </w:pPr>
      <w:r>
        <w:rPr>
          <w:shd w:val="clear" w:fill="FFFFFF"/>
        </w:rPr>
        <w:t>1、函授：一般每学期集中组织面授，其余时间自学。</w:t>
      </w:r>
    </w:p>
    <w:p>
      <w:pPr>
        <w:pStyle w:val="3"/>
        <w:keepNext w:val="0"/>
        <w:keepLines w:val="0"/>
        <w:widowControl/>
        <w:suppressLineNumbers w:val="0"/>
        <w:spacing w:before="0" w:beforeAutospacing="0" w:after="0" w:afterAutospacing="0"/>
        <w:ind w:left="-226" w:right="-226"/>
      </w:pPr>
      <w:r>
        <w:rPr>
          <w:shd w:val="clear" w:fill="FFFFFF"/>
        </w:rPr>
        <w:t>2、业余：每周安排晚上或双休日组织面授。</w:t>
      </w:r>
    </w:p>
    <w:p>
      <w:pPr>
        <w:pStyle w:val="3"/>
        <w:keepNext w:val="0"/>
        <w:keepLines w:val="0"/>
        <w:widowControl/>
        <w:suppressLineNumbers w:val="0"/>
        <w:spacing w:before="0" w:beforeAutospacing="0" w:after="0" w:afterAutospacing="0"/>
        <w:ind w:left="-226" w:right="-226"/>
      </w:pPr>
      <w:r>
        <w:rPr>
          <w:rFonts w:hint="eastAsia"/>
          <w:b/>
          <w:bCs/>
          <w:shd w:val="clear" w:fill="FFFFFF"/>
          <w:lang w:eastAsia="zh-CN"/>
        </w:rPr>
        <w:t>六</w:t>
      </w:r>
      <w:bookmarkStart w:id="0" w:name="_GoBack"/>
      <w:bookmarkEnd w:id="0"/>
      <w:r>
        <w:rPr>
          <w:b/>
          <w:bCs/>
          <w:shd w:val="clear" w:fill="FFFFFF"/>
        </w:rPr>
        <w:t>．学历和待遇</w:t>
      </w:r>
    </w:p>
    <w:p>
      <w:pPr>
        <w:pStyle w:val="3"/>
        <w:keepNext w:val="0"/>
        <w:keepLines w:val="0"/>
        <w:widowControl/>
        <w:suppressLineNumbers w:val="0"/>
        <w:spacing w:before="0" w:beforeAutospacing="0" w:after="0" w:afterAutospacing="0"/>
        <w:ind w:left="-226" w:right="-226"/>
      </w:pPr>
      <w:r>
        <w:rPr>
          <w:shd w:val="clear" w:fill="FFFFFF"/>
        </w:rPr>
        <w:t>根据浙江省教育厅、省高招委制定的招生录取政策，凡被我校正式录取的学生，修满教学计划规定的全部课程且成绩合格，由我院发给相应的成人高等学历教育大专或本科毕业证书，学校负责电子注册，可网络查询，国家承认学历；本科层次毕业生符合浙江科技学院学位授予条件者，可授予学士学位。学习期间不转户粮关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lyphicons Halflings">
    <w:altName w:val="全字庫說文解字"/>
    <w:panose1 w:val="00000000000000000000"/>
    <w:charset w:val="00"/>
    <w:family w:val="auto"/>
    <w:pitch w:val="default"/>
    <w:sig w:usb0="00000000" w:usb1="00000000" w:usb2="00000000" w:usb3="00000000" w:csb0="00000000" w:csb1="00000000"/>
  </w:font>
  <w:font w:name="iconfont">
    <w:altName w:val="全字庫說文解字"/>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6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yperlink"/>
    <w:basedOn w:val="5"/>
    <w:uiPriority w:val="0"/>
    <w:rPr>
      <w:color w:val="333333"/>
      <w:u w:val="none"/>
    </w:rPr>
  </w:style>
  <w:style w:type="character" w:styleId="10">
    <w:name w:val="HTML Code"/>
    <w:basedOn w:val="5"/>
    <w:uiPriority w:val="0"/>
    <w:rPr>
      <w:rFonts w:hint="default" w:ascii="Consolas" w:hAnsi="Consolas" w:eastAsia="Consolas" w:cs="Consolas"/>
      <w:color w:val="C7254E"/>
      <w:sz w:val="21"/>
      <w:szCs w:val="21"/>
      <w:bdr w:val="single" w:color="CCCCCC" w:sz="6" w:space="0"/>
      <w:shd w:val="clear" w:fill="F9F2F4"/>
    </w:rPr>
  </w:style>
  <w:style w:type="character" w:styleId="11">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2">
    <w:name w:val="HTML Sample"/>
    <w:basedOn w:val="5"/>
    <w:uiPriority w:val="0"/>
    <w:rPr>
      <w:rFonts w:ascii="Consolas" w:hAnsi="Consolas" w:eastAsia="Consolas" w:cs="Consolas"/>
      <w:sz w:val="21"/>
      <w:szCs w:val="21"/>
    </w:rPr>
  </w:style>
  <w:style w:type="character" w:customStyle="1" w:styleId="13">
    <w:name w:val="first-child"/>
    <w:basedOn w:val="5"/>
    <w:uiPriority w:val="0"/>
    <w:rPr>
      <w:sz w:val="42"/>
      <w:szCs w:val="42"/>
      <w:bdr w:val="none" w:color="auto" w:sz="0" w:space="0"/>
    </w:rPr>
  </w:style>
  <w:style w:type="character" w:customStyle="1" w:styleId="14">
    <w:name w:val="before2"/>
    <w:basedOn w:val="5"/>
    <w:uiPriority w:val="0"/>
    <w:rPr>
      <w:shd w:val="clear" w:fill="531563"/>
    </w:rPr>
  </w:style>
  <w:style w:type="character" w:customStyle="1" w:styleId="15">
    <w:name w:val="before3"/>
    <w:basedOn w:val="5"/>
    <w:uiPriority w:val="0"/>
    <w:rPr>
      <w:shd w:val="clear" w:fill="004A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2021-04-06T07:03:43Z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92A0DA75E7AD4F43ABDBAA4E8C5587E7</vt:lpwstr>
  </property>
</Properties>
</file>